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b/>
          <w:bCs/>
        </w:rPr>
      </w:pPr>
      <w:r>
        <w:rPr>
          <w:rFonts w:cs="Calibri" w:cstheme="minorHAnsi"/>
          <w:b/>
          <w:bCs/>
          <w:highlight w:val="green"/>
        </w:rPr>
        <w:t xml:space="preserve">Badanie OCT czyli Spektralna Optyczna Koherentna tomografia dna oka </w:t>
      </w:r>
    </w:p>
    <w:p>
      <w:pPr>
        <w:pStyle w:val="Normal"/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color w:val="000000"/>
          <w:shd w:fill="FFFFFF" w:val="clear"/>
        </w:rPr>
        <w:t>Najnowocześniejsza metoda obrazowania, która n</w:t>
      </w:r>
      <w:r>
        <w:rPr>
          <w:rFonts w:cs="Calibri" w:cstheme="minorHAnsi"/>
          <w:lang w:eastAsia="pl-PL"/>
        </w:rPr>
        <w:t>ie ma żadnych przeciwwskazań. Jest to badanie w pełni bezpiecznie, nieinwazyjne, nieobarczone ryzykiem powikłań. Można je wykonywać u osób starszych, dzieci, kobiet w ciąży i w okresie karmienia, pacjentów ze współwystępującymi chorobami przewlekłymi, również wzroku. Można je wielokrotnie powtarzać.</w:t>
      </w:r>
    </w:p>
    <w:p>
      <w:pPr>
        <w:pStyle w:val="Normal"/>
        <w:spacing w:lineRule="auto" w:line="360"/>
        <w:jc w:val="both"/>
        <w:rPr>
          <w:rFonts w:cs="Calibri" w:cstheme="minorHAnsi"/>
          <w:highlight w:val="green"/>
        </w:rPr>
      </w:pPr>
      <w:r>
        <w:rPr>
          <w:rFonts w:cs="Calibri" w:cstheme="minorHAnsi"/>
          <w:lang w:eastAsia="pl-PL"/>
        </w:rPr>
        <w:t>Badanie jest wykonywane aparatem REVO FC, które jest</w:t>
      </w:r>
      <w:r>
        <w:rPr>
          <w:rFonts w:cs="Calibri" w:cstheme="minorHAnsi"/>
          <w:shd w:fill="FFFFFF" w:val="clear"/>
        </w:rPr>
        <w:t xml:space="preserve"> połączeniem najszybszego na świecie spektralnego tomografu OCT i kolorowej funduskamery (czas trwania to około 5 minut). Dzięki temu wyniki badania są bardzo dokładne, a obrazy </w:t>
      </w:r>
      <w:r>
        <w:rPr>
          <w:rFonts w:cs="Calibri" w:cstheme="minorHAnsi"/>
          <w:color w:val="000000"/>
          <w:shd w:fill="FFFFFF" w:val="clear"/>
        </w:rPr>
        <w:t xml:space="preserve">przetwarzane są przez specjalistyczne oprogramowanie w celu precyzyjnej analizy struktury siatkówki. </w:t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rFonts w:cs="Calibri" w:cstheme="minorHAnsi"/>
          <w:b/>
          <w:bCs/>
          <w:highlight w:val="green"/>
        </w:rPr>
        <w:t>OCT siatkówki 150zł</w:t>
      </w:r>
    </w:p>
    <w:p>
      <w:pPr>
        <w:pStyle w:val="Normal"/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 xml:space="preserve">Podczas badania OCT plamki lekarz ocenia stan tylnej części gałki ocznej, czyli strukturę poszczególnych warstw siatkówki i naczyniówki. </w:t>
      </w:r>
    </w:p>
    <w:p>
      <w:pPr>
        <w:pStyle w:val="Normal"/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>Badanie OCT plamki znajduje zastosowanie w diagnostyce: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>zwyrodnienia plamki związanego z wiekiem (AMD)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>zmian cukrzycowych w plamce (CMO)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>obrzęku plamki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>otworów w plamce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>błon nasiatkówkowych (ERM)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>chorób dystroficznych siatkówki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>guzów i znamion naczyniówki</w:t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rFonts w:cs="Calibri" w:cstheme="minorHAnsi"/>
          <w:b/>
          <w:bCs/>
          <w:highlight w:val="green"/>
        </w:rPr>
        <w:t>OCT włókien nerwowych i tarczy nerwu wzrokowego  „Jaskrowe” 150</w:t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rFonts w:cs="Calibri" w:cstheme="minorHAnsi"/>
          <w:b/>
          <w:bCs/>
          <w:highlight w:val="green"/>
        </w:rPr>
        <w:t>OCT grubości kompleksu komórek zwojowych GCC – 150zł</w:t>
      </w:r>
    </w:p>
    <w:p>
      <w:pPr>
        <w:pStyle w:val="Normal"/>
        <w:jc w:val="both"/>
        <w:rPr>
          <w:rFonts w:eastAsia="Times New Roman" w:cs="Calibri" w:cstheme="minorHAnsi"/>
          <w:lang w:eastAsia="pl-PL"/>
        </w:rPr>
      </w:pPr>
      <w:r>
        <w:rPr>
          <w:rFonts w:cs="Calibri" w:cstheme="minorHAnsi"/>
        </w:rPr>
        <w:t>Zastosowanie:</w:t>
      </w:r>
    </w:p>
    <w:p>
      <w:pPr>
        <w:pStyle w:val="ListParagraph"/>
        <w:numPr>
          <w:ilvl w:val="0"/>
          <w:numId w:val="4"/>
        </w:numPr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Rozpoznanie jaskry</w:t>
      </w:r>
    </w:p>
    <w:p>
      <w:pPr>
        <w:pStyle w:val="ListParagraph"/>
        <w:numPr>
          <w:ilvl w:val="0"/>
          <w:numId w:val="4"/>
        </w:numPr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Ocena progresji jaskry czyli monitorowanie postępów choroby</w:t>
      </w:r>
    </w:p>
    <w:p>
      <w:pPr>
        <w:pStyle w:val="ListParagraph"/>
        <w:numPr>
          <w:ilvl w:val="0"/>
          <w:numId w:val="4"/>
        </w:numPr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Ocena wad wrodzonych i innych schorzeń nerwu wzrokowego</w:t>
      </w:r>
    </w:p>
    <w:p>
      <w:pPr>
        <w:pStyle w:val="NormalWeb"/>
        <w:shd w:val="clear" w:color="auto" w:fill="FFFFFF"/>
        <w:spacing w:lineRule="auto" w:line="276" w:beforeAutospacing="0" w:before="0" w:afterAutospacing="0" w:after="15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shd w:fill="FFFFFF" w:val="clear"/>
        </w:rPr>
        <w:t>W przypadku diagnostyki jaskry w badaniu OCT ocenia się komórki zwojowe (GCC) oraz włókna nerwowe siatkówki (RNFL).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Badanie OCT GCC (Ganglion Cell Complex) to badanie grubości kompleksu komórek zwojowych siatkówki. Optyczna koherentna tomografia oka w tej opcji diagnostycznej pozwala wykryć bardzo subtelne zaburzenia jaskrowe, występujące  jeszcze przed pojawieniem się typowych objawów choroby w innych badaniach. Światło laserowe umożliwia uzyskanie bardzo dokładnego obrazu o wysokiej rozdzielczości, co wiąże się z precyzyjną analizą badanych struktur. </w:t>
      </w:r>
      <w:r>
        <w:rPr>
          <w:rFonts w:cs="Calibri" w:cstheme="minorHAnsi"/>
        </w:rPr>
        <w:t>Ponadto badanie OCT wykorzystywane jest także podczas monitorowania efektów leczenia i postępów choroby.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rFonts w:cs="Calibri" w:cstheme="minorHAnsi"/>
          <w:b/>
          <w:bCs/>
          <w:highlight w:val="green"/>
        </w:rPr>
        <w:t>Angio-OCT</w:t>
      </w:r>
      <w:r>
        <w:rPr>
          <w:rFonts w:cs="Calibri" w:cstheme="minorHAnsi"/>
          <w:b/>
          <w:bCs/>
        </w:rPr>
        <w:t xml:space="preserve"> </w:t>
      </w:r>
      <w:r>
        <w:rPr>
          <w:rFonts w:cs="Calibri" w:cstheme="minorHAnsi"/>
          <w:b/>
          <w:bCs/>
          <w:highlight w:val="green"/>
        </w:rPr>
        <w:t>180</w:t>
      </w:r>
      <w:r>
        <w:rPr>
          <w:rFonts w:cs="Calibri" w:cstheme="minorHAnsi"/>
          <w:b/>
          <w:bCs/>
        </w:rPr>
        <w:t>zł</w:t>
      </w:r>
    </w:p>
    <w:p>
      <w:pPr>
        <w:pStyle w:val="Normal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Angiografia SOCT to nieinwazyjna metoda obrazowania przepływu krwi w naczyniach krwionośnych siatkówki. Obrazowanie przepływu oraz struktur naczyniowych dostarcza informacje na temat wielu schorzeń siatkówki. Badanie angiografii daje możliwość oceny stanu unaczynienia strefy dołkowej, peryferyjnej oraz tarczy nerwu wzrokowego.</w:t>
      </w:r>
    </w:p>
    <w:p>
      <w:pPr>
        <w:pStyle w:val="Normal"/>
        <w:spacing w:lineRule="auto" w:line="360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Unikalne obrazowanie użyte po raz pierwszy w angio-OCT, pozwala diagnoście obejrzeć z niezwykłą precyzją mikro krążenie przebiegające we wszystkich warstwach siatkówki.</w:t>
      </w:r>
    </w:p>
    <w:p>
      <w:pPr>
        <w:pStyle w:val="Normal"/>
        <w:spacing w:lineRule="auto" w:line="360"/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Narzędzie do oceny przepływu umożliwia obiektywny pomiar unaczynienia w poszczególnych sektorach wraz z mapami analizowanych struktur naczyniowych, umożliwiających szybką ocenę stanu naczyń. Wybór metody analizy pozwala dostosować czułość narzędzia do wykrywania określonych zmian w strukturze naczyń.</w:t>
      </w:r>
    </w:p>
    <w:p>
      <w:pPr>
        <w:pStyle w:val="Normal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  <w:shd w:fill="FFFFFF" w:val="clear"/>
        </w:rPr>
        <w:t>Badanie umożliwia obserwację, śledzenie oraz porównywanie zmian w warstwach naczyniowych siatkówki obojga oczu.</w:t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rFonts w:eastAsia="Times New Roman" w:cs="Calibri" w:cstheme="minorHAnsi"/>
          <w:b/>
          <w:bCs/>
          <w:lang w:eastAsia="pl-PL"/>
        </w:rPr>
        <w:t>Jest to najnowocześniejsze narzędzie diagnostyczne niezbędne do wczesnej diagnostyki i obserwacji postępu terapii w takich chorobach jak: </w:t>
      </w:r>
    </w:p>
    <w:p>
      <w:pPr>
        <w:pStyle w:val="ListParagraph"/>
        <w:numPr>
          <w:ilvl w:val="0"/>
          <w:numId w:val="2"/>
        </w:numPr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choroby siatkówki</w:t>
      </w:r>
    </w:p>
    <w:p>
      <w:pPr>
        <w:pStyle w:val="ListParagraph"/>
        <w:numPr>
          <w:ilvl w:val="0"/>
          <w:numId w:val="2"/>
        </w:numPr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zwyrodnienie plamki związane z wiekiem (</w:t>
      </w:r>
      <w:hyperlink r:id="rId2">
        <w:r>
          <w:rPr>
            <w:rFonts w:eastAsia="Times New Roman" w:cs="Calibri" w:cstheme="minorHAnsi"/>
            <w:u w:val="single"/>
            <w:bdr w:val="single" w:sz="2" w:space="0" w:color="E5E7EB"/>
            <w:lang w:eastAsia="pl-PL"/>
          </w:rPr>
          <w:t>AMD</w:t>
        </w:r>
      </w:hyperlink>
      <w:r>
        <w:rPr>
          <w:rFonts w:eastAsia="Times New Roman" w:cs="Calibri" w:cstheme="minorHAnsi"/>
          <w:lang w:eastAsia="pl-PL"/>
        </w:rPr>
        <w:t>)</w:t>
      </w:r>
    </w:p>
    <w:p>
      <w:pPr>
        <w:pStyle w:val="ListParagraph"/>
        <w:numPr>
          <w:ilvl w:val="0"/>
          <w:numId w:val="2"/>
        </w:numPr>
        <w:jc w:val="both"/>
        <w:rPr>
          <w:rFonts w:cs="Calibri" w:cstheme="minorHAnsi"/>
        </w:rPr>
      </w:pPr>
      <w:r>
        <w:rPr>
          <w:rFonts w:cs="Calibri" w:cstheme="minorHAnsi"/>
        </w:rPr>
        <w:t>retinopatia cukrzycowa</w:t>
      </w:r>
    </w:p>
    <w:p>
      <w:pPr>
        <w:pStyle w:val="ListParagraph"/>
        <w:numPr>
          <w:ilvl w:val="0"/>
          <w:numId w:val="2"/>
        </w:numPr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zakrzepy żyły środkowej siatkówki</w:t>
      </w:r>
    </w:p>
    <w:p>
      <w:pPr>
        <w:pStyle w:val="ListParagraph"/>
        <w:numPr>
          <w:ilvl w:val="0"/>
          <w:numId w:val="2"/>
        </w:numPr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zator tętnicy środkowej siatkówki</w:t>
      </w:r>
    </w:p>
    <w:p>
      <w:pPr>
        <w:pStyle w:val="ListParagraph"/>
        <w:numPr>
          <w:ilvl w:val="0"/>
          <w:numId w:val="2"/>
        </w:numPr>
        <w:jc w:val="both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inne anomalie naczyniowe</w:t>
      </w:r>
    </w:p>
    <w:p>
      <w:pPr>
        <w:pStyle w:val="Normal"/>
        <w:spacing w:lineRule="auto" w:line="36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shd w:fill="FFFFFF" w:val="clear"/>
        </w:rPr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rFonts w:cs="Calibri" w:cstheme="minorHAnsi"/>
          <w:b/>
          <w:bCs/>
          <w:highlight w:val="green"/>
        </w:rPr>
        <w:t>Pachymetria (badanie grubości rogówki</w:t>
      </w:r>
      <w:r>
        <w:rPr>
          <w:rFonts w:cs="Calibri" w:cstheme="minorHAnsi"/>
          <w:b/>
          <w:bCs/>
        </w:rPr>
        <w:t>) 100zł</w:t>
      </w:r>
    </w:p>
    <w:p>
      <w:pPr>
        <w:pStyle w:val="Normal"/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b/>
          <w:bCs/>
          <w:lang w:eastAsia="pl-PL"/>
        </w:rPr>
        <w:t>Pachymetria</w:t>
      </w:r>
      <w:r>
        <w:rPr>
          <w:rFonts w:cs="Calibri" w:cstheme="minorHAnsi"/>
          <w:lang w:eastAsia="pl-PL"/>
        </w:rPr>
        <w:t xml:space="preserve"> ma na celu pomiar grubości rogówki. Badanie to pozwala ocenić, czy zmierzone ciśnienie śródgałkowe nie jest zawyżone lub zaniżone przez pominięcie faktu istnienia u pacjenta grubszej, lub cieńszej rogówki.</w:t>
      </w:r>
    </w:p>
    <w:p>
      <w:pPr>
        <w:pStyle w:val="Normal"/>
        <w:spacing w:lineRule="auto" w:line="360"/>
        <w:jc w:val="both"/>
        <w:rPr>
          <w:rFonts w:cs="Calibri" w:cstheme="minorHAnsi"/>
          <w:b/>
          <w:bCs/>
          <w:lang w:eastAsia="pl-PL"/>
        </w:rPr>
      </w:pPr>
      <w:r>
        <w:rPr>
          <w:rFonts w:cs="Calibri" w:cstheme="minorHAnsi"/>
          <w:b/>
          <w:bCs/>
          <w:lang w:eastAsia="pl-PL"/>
        </w:rPr>
        <w:t>Kiedy konieczne jest wykonanie pachymetrii?</w:t>
      </w:r>
    </w:p>
    <w:p>
      <w:pPr>
        <w:pStyle w:val="Normal"/>
        <w:spacing w:lineRule="auto" w:line="360"/>
        <w:jc w:val="both"/>
        <w:rPr>
          <w:rFonts w:cs="Calibri" w:cstheme="minorHAnsi"/>
          <w:lang w:eastAsia="pl-PL"/>
        </w:rPr>
      </w:pPr>
      <w:r>
        <w:rPr>
          <w:rFonts w:cs="Calibri" w:cstheme="minorHAnsi"/>
          <w:lang w:eastAsia="pl-PL"/>
        </w:rPr>
        <w:t>Jest to ważne badanie diagnostyczne, które powinno być wykonywane u osób, u których rozpoznano jaskrę, jak i u tych, u których istnieje podejrzenie jaskry. Badanie polecane jest również osobom, u których zdiagnozowano nadciśnienie oczne. Różnice w grubości rogówki wpływają jednak na pomiar ciśnienia sródgałkowego, dlatego u tych osób najbardziej precyzyjną metodą pomiaru jest pachymetria. Poza wcześniej wspomnianymi wskazaniami pachymetrię wykonuje się również przed zabiegami chirurgicznymi na rogówce oraz w diagnostyce stożka rogówki i innych schorzeń rogówki (w ramach badań uzupełniających).</w:t>
      </w:r>
    </w:p>
    <w:p>
      <w:pPr>
        <w:pStyle w:val="Normal"/>
        <w:spacing w:lineRule="auto" w:line="360"/>
        <w:jc w:val="both"/>
        <w:rPr>
          <w:rFonts w:cs="Calibri" w:cstheme="minorHAnsi"/>
          <w:b/>
          <w:bCs/>
          <w:lang w:eastAsia="pl-PL"/>
        </w:rPr>
      </w:pPr>
      <w:r>
        <w:rPr>
          <w:rFonts w:cs="Calibri" w:cstheme="minorHAnsi"/>
          <w:b/>
          <w:bCs/>
          <w:lang w:eastAsia="pl-PL"/>
        </w:rPr>
        <w:t>Jak wygląda badanie?</w:t>
      </w:r>
    </w:p>
    <w:p>
      <w:pPr>
        <w:pStyle w:val="Normal"/>
        <w:spacing w:lineRule="auto" w:line="360"/>
        <w:jc w:val="both"/>
        <w:rPr>
          <w:rFonts w:cs="Calibri" w:cstheme="minorHAnsi"/>
          <w:lang w:eastAsia="pl-PL"/>
        </w:rPr>
      </w:pPr>
      <w:hyperlink r:id="rId3">
        <w:r>
          <w:rPr>
            <w:rFonts w:cs="Calibri" w:cstheme="minorHAnsi"/>
            <w:u w:val="single"/>
            <w:lang w:eastAsia="pl-PL"/>
          </w:rPr>
          <w:t>Pachymetria bezdotykowa</w:t>
        </w:r>
      </w:hyperlink>
      <w:r>
        <w:rPr>
          <w:rFonts w:cs="Calibri" w:cstheme="minorHAnsi"/>
          <w:lang w:eastAsia="pl-PL"/>
        </w:rPr>
        <w:t> wykonywana jest przy użyciu laserowej tomografii rogówki. Umożliwia ono pomiar grubości rogówki w jej centralnym punkcie oraz sporządzenie mapy grubości całej rogówki. Daje również możliwość oceny rogówki pod kątem nieprawidłowości w jej budowie. Niewątpliwą zaletą tej metody jest brak kontaktu aparatu z rogówką, co ogranicza ryzyko infekcji i nieprzyjemne doznania. Należy pamiętać, że nie można stosować zamiennie wyników przeprowadzonych obiema metodami. Mogą między nimi występować różnice wynikające z zastosowania poprawek wyliczonych dla określonej metody pomiarowej. Samo badanie nie wymaga specjalnego przygotowania ze strony pacjenta. Trwa około 3 minut.</w:t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rFonts w:cs="Calibri" w:cstheme="minorHAnsi"/>
          <w:b/>
          <w:bCs/>
          <w:highlight w:val="green"/>
        </w:rPr>
        <w:t xml:space="preserve">Tomografia kąta przesączania </w:t>
      </w:r>
      <w:r>
        <w:rPr>
          <w:rFonts w:cs="Calibri" w:cstheme="minorHAnsi"/>
          <w:b/>
          <w:bCs/>
        </w:rPr>
        <w:t xml:space="preserve">  100zł</w:t>
      </w:r>
    </w:p>
    <w:p>
      <w:pPr>
        <w:pStyle w:val="Normal"/>
        <w:spacing w:lineRule="auto" w:line="360"/>
        <w:jc w:val="both"/>
        <w:rPr>
          <w:rFonts w:eastAsia="Times New Roman" w:cs="Calibri" w:cstheme="minorHAnsi"/>
          <w:spacing w:val="-5"/>
          <w:lang w:eastAsia="pl-PL"/>
        </w:rPr>
      </w:pPr>
      <w:r>
        <w:rPr>
          <w:rFonts w:eastAsia="Times New Roman" w:cs="Calibri" w:cstheme="minorHAnsi"/>
          <w:spacing w:val="-5"/>
          <w:lang w:eastAsia="pl-PL"/>
        </w:rPr>
        <w:t>Jest to badanie pomiaru i oceny kąta przesączania (rogówkowo-tęczówkowego) w oku. Kąt przesączania jest miejscem, gdzie następuje odpływ cieczy wodnistej z gałki ocznej. Ciecz ta, wytwarzana stale w oku utrzymuje napięcie gałki ocznej. Jej prawidłowy odpływ decyduje o tym, czy w oku utrzymują się prawidłowe parametry ciśnienia. Jeśli nie, wówczas nadmierne ciśnienie śródgałkowe może doprowadzić do ucisku na włókna nerwowe, a skutkiem tego będzie zanik nerwu wzrokowego.</w:t>
      </w:r>
      <w:r>
        <w:rPr>
          <w:rFonts w:cs="Calibri" w:cstheme="minorHAnsi"/>
        </w:rPr>
        <w:t> 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cs="Calibri" w:cstheme="minorHAnsi"/>
          <w:b w:val="false"/>
          <w:bCs w:val="false"/>
          <w:highlight w:val="green"/>
        </w:rPr>
        <w:t>POLE WIDZENIA (PERYMETRIA</w:t>
      </w:r>
      <w:r>
        <w:rPr>
          <w:rStyle w:val="Strong"/>
          <w:rFonts w:cs="Calibri" w:cstheme="minorHAnsi"/>
          <w:b w:val="false"/>
          <w:bCs w:val="false"/>
        </w:rPr>
        <w:t>)  80zł</w:t>
      </w:r>
    </w:p>
    <w:p>
      <w:pPr>
        <w:pStyle w:val="Normal"/>
        <w:spacing w:lineRule="auto" w:line="360"/>
        <w:jc w:val="both"/>
        <w:rPr>
          <w:rFonts w:cs="Calibri" w:cstheme="minorHAnsi"/>
          <w:color w:val="000000"/>
          <w:shd w:fill="FFFFFF" w:val="clear"/>
        </w:rPr>
      </w:pPr>
      <w:r>
        <w:rPr>
          <w:rFonts w:cs="Calibri" w:cstheme="minorHAnsi"/>
          <w:color w:val="000000"/>
          <w:shd w:fill="FFFFFF" w:val="clear"/>
        </w:rPr>
        <w:t xml:space="preserve">Jest to nowoczesna metoda badania, która ma na celu rejestrację postrzeganych przez pacjenta bodźców, a w rezultacie określenie ubytków znajdujących się często na obwodzie nie dostrzeganych przez pacjenta, poza centrum osi widzenia. </w:t>
      </w:r>
    </w:p>
    <w:p>
      <w:pPr>
        <w:pStyle w:val="Normal"/>
        <w:spacing w:lineRule="auto" w:line="360"/>
        <w:jc w:val="both"/>
        <w:rPr>
          <w:rFonts w:cs="Calibri" w:cstheme="minorHAnsi"/>
          <w:color w:val="000000"/>
          <w:shd w:fill="FFFFFF" w:val="clear"/>
        </w:rPr>
      </w:pPr>
      <w:r>
        <w:rPr>
          <w:rFonts w:cs="Calibri" w:cstheme="minorHAnsi"/>
          <w:color w:val="000000"/>
          <w:shd w:fill="FFFFFF" w:val="clear"/>
        </w:rPr>
        <w:t>Badanie pola widzenia stosowane jest przede wszystkim w diagnostyce: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  <w:color w:val="000000"/>
          <w:shd w:fill="FFFFFF" w:val="clear"/>
        </w:rPr>
        <w:t>jaskry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  <w:color w:val="000000"/>
          <w:shd w:fill="FFFFFF" w:val="clear"/>
        </w:rPr>
        <w:t xml:space="preserve">neuropatii wzrokowych i druzach tarczy nerwu II 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  <w:color w:val="000000"/>
          <w:shd w:fill="FFFFFF" w:val="clear"/>
        </w:rPr>
        <w:t>zaburzeń okulistycznych w schorzeniach neurologicznych</w:t>
      </w:r>
    </w:p>
    <w:p>
      <w:pPr>
        <w:pStyle w:val="Normal"/>
        <w:spacing w:lineRule="auto" w:line="360"/>
        <w:jc w:val="both"/>
        <w:rPr>
          <w:rFonts w:cs="Calibri" w:cstheme="minorHAnsi"/>
          <w:color w:val="000000"/>
          <w:shd w:fill="FFFFFF" w:val="clear"/>
        </w:rPr>
      </w:pPr>
      <w:r>
        <w:rPr>
          <w:rFonts w:cs="Calibri" w:cstheme="minorHAnsi"/>
        </w:rPr>
        <w:t>Badanie pola widzenia to badanie nieinwazyjne i niebolesne, a jedyną uciążliwość dla chorego może stanowić potrzeba ciągłego skupiania uwagi</w:t>
      </w:r>
      <w:r>
        <w:rPr>
          <w:rFonts w:cs="Calibri" w:cstheme="minorHAnsi"/>
          <w:color w:val="333333"/>
          <w:shd w:fill="FFFFFF" w:val="clear"/>
        </w:rPr>
        <w:t>. </w:t>
      </w:r>
    </w:p>
    <w:p>
      <w:pPr>
        <w:pStyle w:val="Normal"/>
        <w:spacing w:lineRule="auto" w:line="36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shd w:fill="FFFFFF" w:val="clear"/>
        </w:rPr>
        <w:t>Wykonanie badania pola widzenia nie wymaga specjalnego przygotowania, jedynie dużej uwagi i koncentracji dlatego wskazane jest, aby zgłaszać się wypoczętym i spokojnym. Konieczne jest zabranie ze sobą okularów do czytania.</w:t>
      </w:r>
    </w:p>
    <w:p>
      <w:pPr>
        <w:pStyle w:val="Normal"/>
        <w:spacing w:lineRule="auto" w:line="360"/>
        <w:jc w:val="both"/>
        <w:rPr/>
      </w:pPr>
      <w:r>
        <w:rPr>
          <w:rFonts w:cs="Calibri" w:cstheme="minorHAnsi"/>
          <w:b/>
          <w:bCs/>
          <w:highlight w:val="green"/>
          <w:shd w:fill="FFFFFF" w:val="clear"/>
        </w:rPr>
        <w:t>Pakiet jaskrowy: 390zł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OCT tarczy nerwu wzrokowego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OCT komórek zwojowych GCC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Pachymetria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Tomografia kątów przesączania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Pomiar ciśnienia śródgałkowego</w:t>
      </w:r>
    </w:p>
    <w:p>
      <w:pPr>
        <w:pStyle w:val="ListParagraph"/>
        <w:numPr>
          <w:ilvl w:val="0"/>
          <w:numId w:val="5"/>
        </w:numPr>
        <w:spacing w:lineRule="auto" w:line="360" w:before="0" w:after="1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Próba mydriatyczna</w:t>
      </w:r>
    </w:p>
    <w:sectPr>
      <w:type w:val="nextPage"/>
      <w:pgSz w:w="11906" w:h="16838"/>
      <w:pgMar w:left="1417" w:right="141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2">
    <w:name w:val="Heading 2"/>
    <w:basedOn w:val="Normal"/>
    <w:link w:val="Nagwek2Znak"/>
    <w:uiPriority w:val="9"/>
    <w:qFormat/>
    <w:rsid w:val="00c94df8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uiPriority w:val="9"/>
    <w:qFormat/>
    <w:rsid w:val="00c94df8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Strong">
    <w:name w:val="Strong"/>
    <w:basedOn w:val="DefaultParagraphFont"/>
    <w:uiPriority w:val="22"/>
    <w:qFormat/>
    <w:rsid w:val="00c94df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94df8"/>
    <w:rPr>
      <w:color w:val="0000FF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81715c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c417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0117f1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1715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stytutoka.pl/zwyrodnienie-plamki-zwiazane-z-wiekiem/" TargetMode="External"/><Relationship Id="rId3" Type="http://schemas.openxmlformats.org/officeDocument/2006/relationships/hyperlink" Target="https://www.okulisci.wroclaw.pl/diagnostyka/pachymetria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LibreOffice/24.2.1.2$Windows_X86_64 LibreOffice_project/db4def46b0453cc22e2d0305797cf981b68ef5ac</Application>
  <AppVersion>15.0000</AppVersion>
  <Pages>3</Pages>
  <Words>854</Words>
  <Characters>5634</Characters>
  <CharactersWithSpaces>6422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2024-08-08T10:49:00Z</dcterms:created>
  <dc:creator>Magdalena Kowalczyk</dc:creator>
  <dc:description/>
  <dc:language>pl-PL</dc:language>
  <cp:lastModifiedBy/>
  <cp:lastPrinted>2024-02-08T13:56:00Z</cp:lastPrinted>
  <dcterms:modified xsi:type="dcterms:W3CDTF">2024-08-09T00:11:00Z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